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2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4"/>
        <w:gridCol w:w="4002"/>
      </w:tblGrid>
      <w:tr w:rsidR="00850FF2" w14:paraId="61ECEF8D" w14:textId="77777777" w:rsidTr="00DF0B39">
        <w:tc>
          <w:tcPr>
            <w:tcW w:w="3088" w:type="pct"/>
          </w:tcPr>
          <w:p w14:paraId="11D36F5A" w14:textId="77777777" w:rsidR="00850FF2" w:rsidRPr="0083464F" w:rsidRDefault="00850FF2" w:rsidP="00DF0B39">
            <w:pPr>
              <w:pStyle w:val="SoDaNParagraph"/>
              <w:spacing w:after="0"/>
              <w:jc w:val="left"/>
              <w:rPr>
                <w:rFonts w:cs="Arial"/>
              </w:rPr>
            </w:pPr>
          </w:p>
          <w:p w14:paraId="51D4C72F" w14:textId="77777777" w:rsidR="00850FF2" w:rsidRDefault="00850FF2" w:rsidP="00DF0B39">
            <w:pPr>
              <w:pStyle w:val="SoDaNParagraph"/>
              <w:spacing w:after="0"/>
              <w:ind w:left="-105"/>
              <w:jc w:val="left"/>
              <w:rPr>
                <w:rFonts w:cs="Arial"/>
              </w:rPr>
            </w:pPr>
            <w:r w:rsidRPr="0083464F">
              <w:rPr>
                <w:rFonts w:cs="Arial"/>
              </w:rPr>
              <w:t>To Whom It May Concern,</w:t>
            </w:r>
          </w:p>
          <w:p w14:paraId="77639081" w14:textId="77777777" w:rsidR="00850FF2" w:rsidRPr="0083464F" w:rsidRDefault="00850FF2" w:rsidP="00DF0B39">
            <w:pPr>
              <w:pStyle w:val="SoDaNParagraph"/>
              <w:spacing w:after="0"/>
              <w:ind w:left="-105"/>
              <w:jc w:val="left"/>
              <w:rPr>
                <w:rStyle w:val="normaltextrun"/>
                <w:rFonts w:cs="Arial"/>
              </w:rPr>
            </w:pPr>
          </w:p>
        </w:tc>
        <w:tc>
          <w:tcPr>
            <w:tcW w:w="1912" w:type="pct"/>
            <w:hideMark/>
          </w:tcPr>
          <w:p w14:paraId="7197A6F5" w14:textId="542584D8" w:rsidR="00850FF2" w:rsidRPr="0083464F" w:rsidRDefault="00850FF2" w:rsidP="00DF0B39">
            <w:pPr>
              <w:pStyle w:val="SoDaNParagraph"/>
              <w:spacing w:after="0"/>
              <w:jc w:val="right"/>
              <w:rPr>
                <w:rStyle w:val="normaltextrun"/>
                <w:rFonts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4"/>
        <w:gridCol w:w="6962"/>
      </w:tblGrid>
      <w:tr w:rsidR="00850FF2" w14:paraId="341360BC" w14:textId="77777777" w:rsidTr="00850FF2">
        <w:tc>
          <w:tcPr>
            <w:tcW w:w="2064" w:type="dxa"/>
          </w:tcPr>
          <w:p w14:paraId="23D8F9D4" w14:textId="77777777" w:rsidR="00850FF2" w:rsidRPr="0083464F" w:rsidRDefault="00850FF2" w:rsidP="00DF0B39">
            <w:pPr>
              <w:pStyle w:val="paragraph"/>
              <w:spacing w:before="60" w:beforeAutospacing="0" w:after="60" w:afterAutospacing="0"/>
              <w:ind w:left="-114"/>
              <w:textAlignment w:val="baseline"/>
              <w:rPr>
                <w:rFonts w:ascii="Arial" w:hAnsi="Arial" w:cs="Arial"/>
                <w:b/>
                <w:bCs/>
                <w:sz w:val="20"/>
                <w:szCs w:val="21"/>
              </w:rPr>
            </w:pPr>
            <w:r w:rsidRPr="0083464F">
              <w:rPr>
                <w:rFonts w:ascii="Arial" w:eastAsia="Calibri" w:hAnsi="Arial" w:cs="Arial"/>
                <w:b/>
                <w:bCs/>
                <w:sz w:val="20"/>
                <w:szCs w:val="21"/>
              </w:rPr>
              <w:t xml:space="preserve">Our </w:t>
            </w:r>
            <w:proofErr w:type="gramStart"/>
            <w:r w:rsidRPr="0083464F">
              <w:rPr>
                <w:rFonts w:ascii="Arial" w:eastAsia="Calibri" w:hAnsi="Arial" w:cs="Arial"/>
                <w:b/>
                <w:bCs/>
                <w:sz w:val="20"/>
                <w:szCs w:val="21"/>
              </w:rPr>
              <w:t>Client</w:t>
            </w:r>
            <w:proofErr w:type="gramEnd"/>
            <w:r w:rsidRPr="0083464F">
              <w:rPr>
                <w:rFonts w:ascii="Arial" w:eastAsia="Calibri" w:hAnsi="Arial" w:cs="Arial"/>
                <w:b/>
                <w:bCs/>
                <w:sz w:val="20"/>
                <w:szCs w:val="21"/>
              </w:rPr>
              <w:t>:</w:t>
            </w:r>
          </w:p>
        </w:tc>
        <w:tc>
          <w:tcPr>
            <w:tcW w:w="6962" w:type="dxa"/>
          </w:tcPr>
          <w:p w14:paraId="55F506D1" w14:textId="77777777" w:rsidR="00850FF2" w:rsidRPr="0083464F" w:rsidRDefault="00850FF2" w:rsidP="00DF0B39">
            <w:pPr>
              <w:pStyle w:val="paragraph"/>
              <w:spacing w:before="60" w:beforeAutospacing="0" w:after="60" w:afterAutospacing="0"/>
              <w:textAlignment w:val="baseline"/>
              <w:rPr>
                <w:rFonts w:ascii="Arial" w:hAnsi="Arial" w:cs="Arial"/>
                <w:sz w:val="20"/>
                <w:szCs w:val="21"/>
              </w:rPr>
            </w:pPr>
            <w:r w:rsidRPr="0083464F">
              <w:rPr>
                <w:rFonts w:ascii="Arial" w:eastAsia="Calibri" w:hAnsi="Arial" w:cs="Arial"/>
                <w:noProof/>
                <w:sz w:val="20"/>
                <w:szCs w:val="21"/>
              </w:rPr>
              <w:t>Sheehan Haulage &amp; Plant Hire and John Sheehan (Oxford) Ltd</w:t>
            </w:r>
          </w:p>
        </w:tc>
      </w:tr>
      <w:tr w:rsidR="00850FF2" w14:paraId="57F43F49" w14:textId="77777777" w:rsidTr="00850FF2">
        <w:tc>
          <w:tcPr>
            <w:tcW w:w="2064" w:type="dxa"/>
          </w:tcPr>
          <w:p w14:paraId="6672D9D8" w14:textId="77777777" w:rsidR="00850FF2" w:rsidRPr="0083464F" w:rsidRDefault="00850FF2" w:rsidP="00DF0B39">
            <w:pPr>
              <w:pStyle w:val="paragraph"/>
              <w:spacing w:before="60" w:beforeAutospacing="0" w:after="60" w:afterAutospacing="0"/>
              <w:ind w:left="-114"/>
              <w:textAlignment w:val="baseline"/>
              <w:rPr>
                <w:rFonts w:ascii="Arial" w:hAnsi="Arial" w:cs="Arial"/>
                <w:b/>
                <w:bCs/>
                <w:sz w:val="20"/>
                <w:szCs w:val="21"/>
              </w:rPr>
            </w:pPr>
            <w:r w:rsidRPr="0083464F">
              <w:rPr>
                <w:rFonts w:ascii="Arial" w:hAnsi="Arial" w:cs="Arial"/>
                <w:b/>
                <w:bCs/>
                <w:sz w:val="20"/>
                <w:szCs w:val="21"/>
              </w:rPr>
              <w:t>Business Description:</w:t>
            </w:r>
          </w:p>
        </w:tc>
        <w:tc>
          <w:tcPr>
            <w:tcW w:w="6962" w:type="dxa"/>
          </w:tcPr>
          <w:p w14:paraId="5F1C3398" w14:textId="77777777" w:rsidR="00850FF2" w:rsidRPr="0083464F" w:rsidRDefault="00850FF2" w:rsidP="00DF0B39">
            <w:pPr>
              <w:pStyle w:val="paragraph"/>
              <w:spacing w:before="60" w:beforeAutospacing="0" w:after="60" w:afterAutospacing="0"/>
              <w:textAlignment w:val="baseline"/>
              <w:rPr>
                <w:rFonts w:ascii="Arial" w:hAnsi="Arial" w:cs="Arial"/>
                <w:sz w:val="20"/>
                <w:szCs w:val="21"/>
              </w:rPr>
            </w:pPr>
            <w:r w:rsidRPr="0083464F">
              <w:rPr>
                <w:rFonts w:ascii="Arial" w:hAnsi="Arial" w:cs="Arial"/>
                <w:noProof/>
                <w:sz w:val="20"/>
                <w:szCs w:val="21"/>
              </w:rPr>
              <w:t>Haulage, Skip &amp; Tipper Hire, Plant Hire, Waste Transfer, Bio Mass Boiler Operator, Groundworks, Civil Engineering (including occasional demolitions), Aggregate Washing, Disposal of own inert waste at third party sites. (Client owns 2 landfill sites but they are presently under restoration and are not being used until signed off by council etc), Recycling, Contaminated Soil Washing, Landfill, Container Storage, Concrete Block Manufacturers, Property Owners &amp; Property Developers</w:t>
            </w:r>
          </w:p>
        </w:tc>
      </w:tr>
    </w:tbl>
    <w:p w14:paraId="502CB108" w14:textId="77777777" w:rsidR="00850FF2" w:rsidRPr="0083464F" w:rsidRDefault="00850FF2" w:rsidP="00850FF2">
      <w:pPr>
        <w:rPr>
          <w:rFonts w:cs="Arial"/>
          <w:sz w:val="21"/>
          <w:szCs w:val="21"/>
        </w:rPr>
      </w:pPr>
    </w:p>
    <w:p w14:paraId="5D904DC1" w14:textId="77777777" w:rsidR="00850FF2" w:rsidRPr="0083464F" w:rsidRDefault="00850FF2" w:rsidP="00850FF2">
      <w:pPr>
        <w:rPr>
          <w:rFonts w:cs="Arial"/>
          <w:szCs w:val="21"/>
        </w:rPr>
      </w:pPr>
      <w:r w:rsidRPr="0083464F">
        <w:rPr>
          <w:rFonts w:cs="Arial"/>
          <w:szCs w:val="21"/>
        </w:rPr>
        <w:t xml:space="preserve">As the Insurance Broker acting on behalf of </w:t>
      </w:r>
      <w:r w:rsidRPr="0083464F">
        <w:rPr>
          <w:rFonts w:cs="Arial"/>
          <w:b/>
          <w:bCs/>
          <w:noProof/>
          <w:szCs w:val="21"/>
        </w:rPr>
        <w:t>Sheehan Haulage &amp; Plant Hire and John Sheehan (Oxford) Ltd</w:t>
      </w:r>
      <w:r w:rsidRPr="0083464F">
        <w:rPr>
          <w:rFonts w:cs="Arial"/>
          <w:szCs w:val="21"/>
        </w:rPr>
        <w:t>, please accept this letter as confirmation that the insurances detailed below are in force.</w:t>
      </w:r>
    </w:p>
    <w:p w14:paraId="0403DAC1" w14:textId="77777777" w:rsidR="00850FF2" w:rsidRPr="0083464F" w:rsidRDefault="00850FF2" w:rsidP="00850FF2">
      <w:pPr>
        <w:keepNext/>
        <w:keepLines/>
        <w:spacing w:before="240" w:after="120"/>
        <w:outlineLvl w:val="2"/>
        <w:rPr>
          <w:rFonts w:eastAsia="Calibri" w:cs="Arial"/>
          <w:b/>
          <w:bCs/>
          <w:sz w:val="24"/>
          <w:szCs w:val="26"/>
        </w:rPr>
      </w:pPr>
      <w:r w:rsidRPr="0083464F">
        <w:rPr>
          <w:rFonts w:eastAsia="Calibri" w:cs="Arial"/>
          <w:b/>
          <w:bCs/>
          <w:sz w:val="24"/>
          <w:szCs w:val="26"/>
        </w:rPr>
        <w:t>Employers’ Liability</w:t>
      </w:r>
    </w:p>
    <w:tbl>
      <w:tblPr>
        <w:tblW w:w="5000" w:type="pct"/>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0466"/>
      </w:tblGrid>
      <w:tr w:rsidR="00850FF2" w14:paraId="06D54C75" w14:textId="77777777" w:rsidTr="00DF0B39">
        <w:trPr>
          <w:cantSplit/>
          <w:trHeight w:val="240"/>
        </w:trPr>
        <w:tc>
          <w:tcPr>
            <w:tcW w:w="0" w:type="auto"/>
            <w:tcBorders>
              <w:top w:val="nil"/>
              <w:left w:val="nil"/>
              <w:bottom w:val="nil"/>
              <w:right w:val="nil"/>
            </w:tcBorders>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82"/>
              <w:gridCol w:w="6274"/>
            </w:tblGrid>
            <w:tr w:rsidR="00850FF2" w14:paraId="7222D197" w14:textId="77777777" w:rsidTr="00DF0B39">
              <w:trPr>
                <w:trHeight w:val="240"/>
              </w:trPr>
              <w:tc>
                <w:tcPr>
                  <w:tcW w:w="2000" w:type="pct"/>
                  <w:tcMar>
                    <w:top w:w="91" w:type="dxa"/>
                    <w:left w:w="108" w:type="dxa"/>
                    <w:bottom w:w="28" w:type="dxa"/>
                    <w:right w:w="108" w:type="dxa"/>
                  </w:tcMar>
                  <w:vAlign w:val="center"/>
                </w:tcPr>
                <w:p w14:paraId="22EBD856" w14:textId="77777777" w:rsidR="00850FF2" w:rsidRPr="0083464F" w:rsidRDefault="00850FF2" w:rsidP="00DF0B39">
                  <w:pPr>
                    <w:keepLines/>
                    <w:rPr>
                      <w:rFonts w:eastAsia="Calibri" w:cs="Arial"/>
                      <w:b/>
                      <w:szCs w:val="21"/>
                    </w:rPr>
                  </w:pPr>
                  <w:r w:rsidRPr="0083464F">
                    <w:rPr>
                      <w:rFonts w:eastAsia="Calibri" w:cs="Arial"/>
                      <w:b/>
                      <w:szCs w:val="21"/>
                    </w:rPr>
                    <w:t>Insurer:</w:t>
                  </w:r>
                </w:p>
              </w:tc>
              <w:tc>
                <w:tcPr>
                  <w:tcW w:w="3000" w:type="pct"/>
                  <w:tcMar>
                    <w:top w:w="91" w:type="dxa"/>
                    <w:left w:w="108" w:type="dxa"/>
                    <w:bottom w:w="28" w:type="dxa"/>
                    <w:right w:w="108" w:type="dxa"/>
                  </w:tcMar>
                  <w:vAlign w:val="center"/>
                </w:tcPr>
                <w:p w14:paraId="4CD713E3" w14:textId="77777777" w:rsidR="00850FF2" w:rsidRPr="0083464F" w:rsidRDefault="00850FF2" w:rsidP="00DF0B39">
                  <w:pPr>
                    <w:rPr>
                      <w:rFonts w:cs="Arial"/>
                      <w:szCs w:val="21"/>
                    </w:rPr>
                  </w:pPr>
                  <w:r w:rsidRPr="0083464F">
                    <w:rPr>
                      <w:rFonts w:cs="Arial"/>
                      <w:noProof/>
                      <w:szCs w:val="21"/>
                    </w:rPr>
                    <w:t>QBE UK Limited</w:t>
                  </w:r>
                  <w:r w:rsidRPr="0083464F">
                    <w:rPr>
                      <w:rFonts w:cs="Arial"/>
                      <w:szCs w:val="21"/>
                    </w:rPr>
                    <w:t xml:space="preserve"> via </w:t>
                  </w:r>
                  <w:r w:rsidRPr="0083464F">
                    <w:rPr>
                      <w:rFonts w:cs="Arial"/>
                      <w:noProof/>
                      <w:szCs w:val="21"/>
                    </w:rPr>
                    <w:t>Consilium Insurance Brokers Ltd</w:t>
                  </w:r>
                </w:p>
              </w:tc>
            </w:tr>
            <w:tr w:rsidR="00850FF2" w14:paraId="1F33271F" w14:textId="77777777" w:rsidTr="00DF0B39">
              <w:trPr>
                <w:trHeight w:val="240"/>
              </w:trPr>
              <w:tc>
                <w:tcPr>
                  <w:tcW w:w="2000" w:type="pct"/>
                  <w:tcMar>
                    <w:top w:w="91" w:type="dxa"/>
                    <w:left w:w="108" w:type="dxa"/>
                    <w:bottom w:w="28" w:type="dxa"/>
                    <w:right w:w="108" w:type="dxa"/>
                  </w:tcMar>
                  <w:vAlign w:val="center"/>
                </w:tcPr>
                <w:p w14:paraId="3CCF7DCD" w14:textId="77777777" w:rsidR="00850FF2" w:rsidRPr="0083464F" w:rsidRDefault="00850FF2" w:rsidP="00DF0B39">
                  <w:pPr>
                    <w:keepLines/>
                    <w:rPr>
                      <w:rFonts w:eastAsia="Calibri" w:cs="Arial"/>
                      <w:b/>
                      <w:szCs w:val="21"/>
                    </w:rPr>
                  </w:pPr>
                  <w:r w:rsidRPr="0083464F">
                    <w:rPr>
                      <w:rFonts w:eastAsia="Calibri" w:cs="Arial"/>
                      <w:b/>
                      <w:szCs w:val="21"/>
                    </w:rPr>
                    <w:t>Policy number:</w:t>
                  </w:r>
                </w:p>
              </w:tc>
              <w:tc>
                <w:tcPr>
                  <w:tcW w:w="3000" w:type="pct"/>
                  <w:tcMar>
                    <w:top w:w="91" w:type="dxa"/>
                    <w:left w:w="108" w:type="dxa"/>
                    <w:bottom w:w="28" w:type="dxa"/>
                    <w:right w:w="108" w:type="dxa"/>
                  </w:tcMar>
                  <w:vAlign w:val="center"/>
                </w:tcPr>
                <w:p w14:paraId="7F19E355" w14:textId="77777777" w:rsidR="00850FF2" w:rsidRPr="0083464F" w:rsidRDefault="00850FF2" w:rsidP="00DF0B39">
                  <w:pPr>
                    <w:keepLines/>
                    <w:rPr>
                      <w:rFonts w:eastAsia="Calibri" w:cs="Arial"/>
                      <w:szCs w:val="21"/>
                    </w:rPr>
                  </w:pPr>
                  <w:r w:rsidRPr="0083464F">
                    <w:rPr>
                      <w:rFonts w:eastAsia="Calibri" w:cs="Arial"/>
                      <w:noProof/>
                      <w:szCs w:val="21"/>
                    </w:rPr>
                    <w:t>DIA21JOHNS05-1</w:t>
                  </w:r>
                </w:p>
              </w:tc>
            </w:tr>
            <w:tr w:rsidR="00850FF2" w14:paraId="7E2748B6" w14:textId="77777777" w:rsidTr="00DF0B39">
              <w:trPr>
                <w:trHeight w:val="240"/>
              </w:trPr>
              <w:tc>
                <w:tcPr>
                  <w:tcW w:w="2000" w:type="pct"/>
                  <w:tcMar>
                    <w:top w:w="91" w:type="dxa"/>
                    <w:left w:w="108" w:type="dxa"/>
                    <w:bottom w:w="28" w:type="dxa"/>
                    <w:right w:w="108" w:type="dxa"/>
                  </w:tcMar>
                  <w:vAlign w:val="center"/>
                </w:tcPr>
                <w:p w14:paraId="087091D4" w14:textId="77777777" w:rsidR="00850FF2" w:rsidRPr="0083464F" w:rsidRDefault="00850FF2" w:rsidP="00DF0B39">
                  <w:pPr>
                    <w:keepLines/>
                    <w:rPr>
                      <w:rFonts w:eastAsia="Calibri" w:cs="Arial"/>
                      <w:b/>
                      <w:szCs w:val="21"/>
                    </w:rPr>
                  </w:pPr>
                  <w:r w:rsidRPr="0083464F">
                    <w:rPr>
                      <w:rFonts w:eastAsia="Calibri" w:cs="Arial"/>
                      <w:b/>
                      <w:szCs w:val="21"/>
                    </w:rPr>
                    <w:t>Cover period:</w:t>
                  </w:r>
                </w:p>
              </w:tc>
              <w:tc>
                <w:tcPr>
                  <w:tcW w:w="3000" w:type="pct"/>
                  <w:tcMar>
                    <w:top w:w="91" w:type="dxa"/>
                    <w:left w:w="108" w:type="dxa"/>
                    <w:bottom w:w="28" w:type="dxa"/>
                    <w:right w:w="108" w:type="dxa"/>
                  </w:tcMar>
                  <w:vAlign w:val="center"/>
                </w:tcPr>
                <w:p w14:paraId="61972304" w14:textId="77777777" w:rsidR="00850FF2" w:rsidRPr="0083464F" w:rsidRDefault="00850FF2" w:rsidP="00DF0B39">
                  <w:pPr>
                    <w:keepLines/>
                    <w:rPr>
                      <w:rFonts w:eastAsia="Calibri" w:cs="Arial"/>
                      <w:szCs w:val="21"/>
                    </w:rPr>
                  </w:pPr>
                  <w:r w:rsidRPr="0083464F">
                    <w:rPr>
                      <w:rFonts w:eastAsia="Calibri" w:cs="Arial"/>
                      <w:noProof/>
                      <w:szCs w:val="21"/>
                    </w:rPr>
                    <w:t>1st December 2025</w:t>
                  </w:r>
                  <w:r w:rsidRPr="0083464F">
                    <w:rPr>
                      <w:rFonts w:eastAsia="Calibri" w:cs="Arial"/>
                      <w:szCs w:val="21"/>
                    </w:rPr>
                    <w:t xml:space="preserve"> to </w:t>
                  </w:r>
                  <w:r w:rsidRPr="0083464F">
                    <w:rPr>
                      <w:rFonts w:eastAsia="Calibri" w:cs="Arial"/>
                      <w:noProof/>
                      <w:szCs w:val="21"/>
                    </w:rPr>
                    <w:t>30th November 2026</w:t>
                  </w:r>
                </w:p>
              </w:tc>
            </w:tr>
            <w:tr w:rsidR="00850FF2" w14:paraId="00D3D964" w14:textId="77777777" w:rsidTr="00DF0B39">
              <w:trPr>
                <w:trHeight w:val="240"/>
              </w:trPr>
              <w:tc>
                <w:tcPr>
                  <w:tcW w:w="2000" w:type="pct"/>
                  <w:tcMar>
                    <w:top w:w="91" w:type="dxa"/>
                    <w:left w:w="108" w:type="dxa"/>
                    <w:bottom w:w="28" w:type="dxa"/>
                    <w:right w:w="108" w:type="dxa"/>
                  </w:tcMar>
                  <w:vAlign w:val="center"/>
                </w:tcPr>
                <w:p w14:paraId="441D5C69" w14:textId="77777777" w:rsidR="00850FF2" w:rsidRPr="0083464F" w:rsidRDefault="00850FF2" w:rsidP="00DF0B39">
                  <w:pPr>
                    <w:keepLines/>
                    <w:rPr>
                      <w:rFonts w:eastAsia="Calibri" w:cs="Arial"/>
                      <w:b/>
                      <w:szCs w:val="21"/>
                    </w:rPr>
                  </w:pPr>
                  <w:r w:rsidRPr="0083464F">
                    <w:rPr>
                      <w:rFonts w:eastAsia="Calibri" w:cs="Arial"/>
                      <w:b/>
                      <w:szCs w:val="21"/>
                    </w:rPr>
                    <w:t>Indemnity limit:</w:t>
                  </w:r>
                </w:p>
              </w:tc>
              <w:tc>
                <w:tcPr>
                  <w:tcW w:w="3000" w:type="pct"/>
                  <w:tcMar>
                    <w:top w:w="91" w:type="dxa"/>
                    <w:left w:w="108" w:type="dxa"/>
                    <w:bottom w:w="28" w:type="dxa"/>
                    <w:right w:w="108" w:type="dxa"/>
                  </w:tcMar>
                  <w:vAlign w:val="center"/>
                </w:tcPr>
                <w:p w14:paraId="356F105F" w14:textId="77777777" w:rsidR="00850FF2" w:rsidRPr="0083464F" w:rsidRDefault="00850FF2" w:rsidP="00DF0B39">
                  <w:pPr>
                    <w:keepLines/>
                    <w:rPr>
                      <w:rFonts w:eastAsia="Calibri" w:cs="Arial"/>
                      <w:szCs w:val="21"/>
                    </w:rPr>
                  </w:pPr>
                  <w:r w:rsidRPr="0083464F">
                    <w:rPr>
                      <w:rFonts w:eastAsia="Calibri" w:cs="Arial"/>
                      <w:szCs w:val="21"/>
                    </w:rPr>
                    <w:t>£</w:t>
                  </w:r>
                  <w:r w:rsidRPr="0083464F">
                    <w:rPr>
                      <w:rFonts w:eastAsia="Calibri" w:cs="Arial"/>
                      <w:noProof/>
                      <w:szCs w:val="21"/>
                    </w:rPr>
                    <w:t>10,000,000</w:t>
                  </w:r>
                </w:p>
              </w:tc>
            </w:tr>
          </w:tbl>
          <w:p w14:paraId="5A4792BD" w14:textId="77777777" w:rsidR="00850FF2" w:rsidRPr="0083464F" w:rsidRDefault="00850FF2" w:rsidP="00DF0B39">
            <w:pPr>
              <w:rPr>
                <w:rFonts w:eastAsia="Calibri" w:cs="Arial"/>
                <w:sz w:val="21"/>
                <w:szCs w:val="21"/>
              </w:rPr>
            </w:pPr>
          </w:p>
        </w:tc>
      </w:tr>
    </w:tbl>
    <w:p w14:paraId="3FE2E3BE" w14:textId="77777777" w:rsidR="00850FF2" w:rsidRPr="0083464F" w:rsidRDefault="00850FF2" w:rsidP="00850FF2">
      <w:pPr>
        <w:keepNext/>
        <w:keepLines/>
        <w:spacing w:before="240" w:after="120"/>
        <w:outlineLvl w:val="2"/>
        <w:rPr>
          <w:rFonts w:eastAsia="Calibri" w:cs="Arial"/>
          <w:b/>
          <w:bCs/>
          <w:sz w:val="24"/>
          <w:szCs w:val="26"/>
        </w:rPr>
      </w:pPr>
      <w:r w:rsidRPr="0083464F">
        <w:rPr>
          <w:rFonts w:eastAsia="Calibri" w:cs="Arial"/>
          <w:b/>
          <w:bCs/>
          <w:sz w:val="24"/>
          <w:szCs w:val="26"/>
        </w:rPr>
        <w:t>Public and Products Liability</w:t>
      </w:r>
    </w:p>
    <w:tbl>
      <w:tblPr>
        <w:tblW w:w="5000" w:type="pct"/>
        <w:tblCellMar>
          <w:top w:w="15" w:type="dxa"/>
          <w:left w:w="15" w:type="dxa"/>
          <w:bottom w:w="15" w:type="dxa"/>
          <w:right w:w="15" w:type="dxa"/>
        </w:tblCellMar>
        <w:tblLook w:val="04A0" w:firstRow="1" w:lastRow="0" w:firstColumn="1" w:lastColumn="0" w:noHBand="0" w:noVBand="1"/>
      </w:tblPr>
      <w:tblGrid>
        <w:gridCol w:w="4182"/>
        <w:gridCol w:w="6274"/>
      </w:tblGrid>
      <w:tr w:rsidR="00850FF2" w14:paraId="1C05BB7D" w14:textId="77777777" w:rsidTr="00DF0B39">
        <w:trPr>
          <w:trHeight w:val="240"/>
        </w:trPr>
        <w:tc>
          <w:tcPr>
            <w:tcW w:w="2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7E47D58C" w14:textId="77777777" w:rsidR="00850FF2" w:rsidRPr="0083464F" w:rsidRDefault="00850FF2" w:rsidP="00DF0B39">
            <w:pPr>
              <w:keepLines/>
              <w:rPr>
                <w:rFonts w:eastAsia="Calibri" w:cs="Arial"/>
                <w:b/>
                <w:szCs w:val="21"/>
              </w:rPr>
            </w:pPr>
            <w:r w:rsidRPr="0083464F">
              <w:rPr>
                <w:rFonts w:eastAsia="Calibri" w:cs="Arial"/>
                <w:b/>
                <w:szCs w:val="21"/>
              </w:rPr>
              <w:t>Insurer:</w:t>
            </w:r>
          </w:p>
        </w:tc>
        <w:tc>
          <w:tcPr>
            <w:tcW w:w="3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24D860C9" w14:textId="77777777" w:rsidR="00850FF2" w:rsidRPr="0083464F" w:rsidRDefault="00850FF2" w:rsidP="00DF0B39">
            <w:pPr>
              <w:rPr>
                <w:rFonts w:cs="Arial"/>
                <w:szCs w:val="21"/>
              </w:rPr>
            </w:pPr>
            <w:r w:rsidRPr="0083464F">
              <w:rPr>
                <w:rFonts w:cs="Arial"/>
                <w:noProof/>
                <w:szCs w:val="21"/>
              </w:rPr>
              <w:t>QBE UK Limited</w:t>
            </w:r>
            <w:r w:rsidRPr="0083464F">
              <w:rPr>
                <w:rFonts w:cs="Arial"/>
                <w:szCs w:val="21"/>
              </w:rPr>
              <w:t xml:space="preserve"> via </w:t>
            </w:r>
            <w:r w:rsidRPr="0083464F">
              <w:rPr>
                <w:rFonts w:cs="Arial"/>
                <w:noProof/>
                <w:szCs w:val="21"/>
              </w:rPr>
              <w:t>Consilium Insurance Brokers Ltd</w:t>
            </w:r>
          </w:p>
        </w:tc>
      </w:tr>
      <w:tr w:rsidR="00850FF2" w14:paraId="742F8869" w14:textId="77777777" w:rsidTr="00DF0B39">
        <w:trPr>
          <w:trHeight w:val="240"/>
        </w:trPr>
        <w:tc>
          <w:tcPr>
            <w:tcW w:w="2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22F6744B" w14:textId="77777777" w:rsidR="00850FF2" w:rsidRPr="0083464F" w:rsidRDefault="00850FF2" w:rsidP="00DF0B39">
            <w:pPr>
              <w:keepLines/>
              <w:rPr>
                <w:rFonts w:eastAsia="Calibri" w:cs="Arial"/>
                <w:b/>
                <w:szCs w:val="21"/>
              </w:rPr>
            </w:pPr>
            <w:r w:rsidRPr="0083464F">
              <w:rPr>
                <w:rFonts w:eastAsia="Calibri" w:cs="Arial"/>
                <w:b/>
                <w:szCs w:val="21"/>
              </w:rPr>
              <w:t>Policy number:</w:t>
            </w:r>
          </w:p>
        </w:tc>
        <w:tc>
          <w:tcPr>
            <w:tcW w:w="3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63D81877" w14:textId="77777777" w:rsidR="00850FF2" w:rsidRPr="0083464F" w:rsidRDefault="00850FF2" w:rsidP="00DF0B39">
            <w:pPr>
              <w:keepLines/>
              <w:rPr>
                <w:rFonts w:eastAsia="Calibri" w:cs="Arial"/>
                <w:szCs w:val="21"/>
              </w:rPr>
            </w:pPr>
            <w:r w:rsidRPr="0083464F">
              <w:rPr>
                <w:rFonts w:eastAsia="Calibri" w:cs="Arial"/>
                <w:noProof/>
                <w:szCs w:val="21"/>
              </w:rPr>
              <w:t>DIA21JOHNS05-1</w:t>
            </w:r>
          </w:p>
        </w:tc>
      </w:tr>
      <w:tr w:rsidR="00850FF2" w14:paraId="2B20990E" w14:textId="77777777" w:rsidTr="00DF0B39">
        <w:trPr>
          <w:trHeight w:val="240"/>
        </w:trPr>
        <w:tc>
          <w:tcPr>
            <w:tcW w:w="2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5E9115A9" w14:textId="77777777" w:rsidR="00850FF2" w:rsidRPr="0083464F" w:rsidRDefault="00850FF2" w:rsidP="00DF0B39">
            <w:pPr>
              <w:keepLines/>
              <w:rPr>
                <w:rFonts w:eastAsia="Calibri" w:cs="Arial"/>
                <w:b/>
                <w:szCs w:val="21"/>
              </w:rPr>
            </w:pPr>
            <w:r w:rsidRPr="0083464F">
              <w:rPr>
                <w:rFonts w:eastAsia="Calibri" w:cs="Arial"/>
                <w:b/>
                <w:szCs w:val="21"/>
              </w:rPr>
              <w:t>Cover period:</w:t>
            </w:r>
          </w:p>
        </w:tc>
        <w:tc>
          <w:tcPr>
            <w:tcW w:w="3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7EF8D56C" w14:textId="77777777" w:rsidR="00850FF2" w:rsidRPr="0083464F" w:rsidRDefault="00850FF2" w:rsidP="00DF0B39">
            <w:pPr>
              <w:keepLines/>
              <w:rPr>
                <w:rFonts w:eastAsia="Calibri" w:cs="Arial"/>
                <w:szCs w:val="21"/>
              </w:rPr>
            </w:pPr>
            <w:r w:rsidRPr="0083464F">
              <w:rPr>
                <w:rFonts w:eastAsia="Calibri" w:cs="Arial"/>
                <w:noProof/>
                <w:szCs w:val="21"/>
              </w:rPr>
              <w:t>1st December 2025</w:t>
            </w:r>
            <w:r w:rsidRPr="0083464F">
              <w:rPr>
                <w:rFonts w:eastAsia="Calibri" w:cs="Arial"/>
                <w:szCs w:val="21"/>
              </w:rPr>
              <w:t xml:space="preserve"> to </w:t>
            </w:r>
            <w:r w:rsidRPr="0083464F">
              <w:rPr>
                <w:rFonts w:eastAsia="Calibri" w:cs="Arial"/>
                <w:noProof/>
                <w:szCs w:val="21"/>
              </w:rPr>
              <w:t>30th November 2026</w:t>
            </w:r>
          </w:p>
        </w:tc>
      </w:tr>
      <w:tr w:rsidR="00850FF2" w14:paraId="42CC68E3" w14:textId="77777777" w:rsidTr="00DF0B39">
        <w:trPr>
          <w:trHeight w:val="240"/>
        </w:trPr>
        <w:tc>
          <w:tcPr>
            <w:tcW w:w="2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1C9C7BA4" w14:textId="77777777" w:rsidR="00850FF2" w:rsidRPr="0083464F" w:rsidRDefault="00850FF2" w:rsidP="00DF0B39">
            <w:pPr>
              <w:keepLines/>
              <w:rPr>
                <w:rFonts w:cs="Arial"/>
                <w:b/>
                <w:szCs w:val="21"/>
              </w:rPr>
            </w:pPr>
            <w:r w:rsidRPr="0083464F">
              <w:rPr>
                <w:rFonts w:cs="Arial"/>
                <w:b/>
                <w:szCs w:val="21"/>
              </w:rPr>
              <w:t>Public and Products Liability Indemnity limit:</w:t>
            </w:r>
          </w:p>
        </w:tc>
        <w:tc>
          <w:tcPr>
            <w:tcW w:w="3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3A3FF5FB" w14:textId="77777777" w:rsidR="00850FF2" w:rsidRPr="0083464F" w:rsidRDefault="00850FF2" w:rsidP="00DF0B39">
            <w:pPr>
              <w:keepLines/>
              <w:rPr>
                <w:rFonts w:eastAsia="Calibri" w:cs="Arial"/>
                <w:szCs w:val="21"/>
              </w:rPr>
            </w:pPr>
            <w:r w:rsidRPr="0083464F">
              <w:rPr>
                <w:rFonts w:eastAsia="Calibri" w:cs="Arial"/>
                <w:szCs w:val="21"/>
              </w:rPr>
              <w:t>£</w:t>
            </w:r>
            <w:r w:rsidRPr="0083464F">
              <w:rPr>
                <w:rFonts w:eastAsia="Calibri" w:cs="Arial"/>
                <w:noProof/>
                <w:szCs w:val="21"/>
              </w:rPr>
              <w:t>10,000,000</w:t>
            </w:r>
          </w:p>
        </w:tc>
      </w:tr>
    </w:tbl>
    <w:p w14:paraId="6918762E" w14:textId="77777777" w:rsidR="00850FF2" w:rsidRPr="0083464F" w:rsidRDefault="00850FF2" w:rsidP="00850FF2">
      <w:pPr>
        <w:keepNext/>
        <w:keepLines/>
        <w:spacing w:before="240" w:after="120"/>
        <w:outlineLvl w:val="2"/>
        <w:rPr>
          <w:rFonts w:eastAsia="Calibri" w:cs="Arial"/>
          <w:b/>
          <w:sz w:val="24"/>
          <w:szCs w:val="26"/>
        </w:rPr>
      </w:pPr>
      <w:r w:rsidRPr="0083464F">
        <w:rPr>
          <w:rFonts w:eastAsia="Calibri" w:cs="Arial"/>
          <w:b/>
          <w:sz w:val="24"/>
          <w:szCs w:val="26"/>
        </w:rPr>
        <w:t>Contract Works</w:t>
      </w:r>
    </w:p>
    <w:tbl>
      <w:tblPr>
        <w:tblW w:w="5000" w:type="pct"/>
        <w:tblBorders>
          <w:top w:val="nil"/>
          <w:left w:val="nil"/>
          <w:bottom w:val="nil"/>
          <w:right w:val="nil"/>
          <w:insideH w:val="nil"/>
          <w:insideV w:val="nil"/>
        </w:tblBorders>
        <w:tblCellMar>
          <w:top w:w="15" w:type="dxa"/>
          <w:left w:w="15" w:type="dxa"/>
          <w:bottom w:w="15" w:type="dxa"/>
          <w:right w:w="15" w:type="dxa"/>
        </w:tblCellMar>
        <w:tblLook w:val="04A0" w:firstRow="1" w:lastRow="0" w:firstColumn="1" w:lastColumn="0" w:noHBand="0" w:noVBand="1"/>
      </w:tblPr>
      <w:tblGrid>
        <w:gridCol w:w="10466"/>
      </w:tblGrid>
      <w:tr w:rsidR="00850FF2" w14:paraId="7C8C1957" w14:textId="77777777" w:rsidTr="00DF0B39">
        <w:trPr>
          <w:cantSplit/>
          <w:trHeight w:val="240"/>
        </w:trPr>
        <w:tc>
          <w:tcPr>
            <w:tcW w:w="0" w:type="auto"/>
            <w:tcBorders>
              <w:top w:val="nil"/>
              <w:left w:val="nil"/>
              <w:bottom w:val="nil"/>
              <w:right w:val="nil"/>
            </w:tcBorders>
            <w:tcMar>
              <w:top w:w="0" w:type="dxa"/>
              <w:left w:w="0" w:type="dxa"/>
              <w:bottom w:w="0" w:type="dxa"/>
              <w:right w:w="0" w:type="dxa"/>
            </w:tcMar>
          </w:tcPr>
          <w:tbl>
            <w:tblPr>
              <w:tblW w:w="5000" w:type="pct"/>
              <w:tblBorders>
                <w:top w:val="nil"/>
                <w:left w:val="nil"/>
                <w:bottom w:val="nil"/>
                <w:right w:val="nil"/>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82"/>
              <w:gridCol w:w="6274"/>
            </w:tblGrid>
            <w:tr w:rsidR="00850FF2" w14:paraId="18BB5ECC" w14:textId="77777777" w:rsidTr="00DF0B39">
              <w:trPr>
                <w:trHeight w:val="240"/>
              </w:trPr>
              <w:tc>
                <w:tcPr>
                  <w:tcW w:w="2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6A7ABCA8" w14:textId="77777777" w:rsidR="00850FF2" w:rsidRPr="0083464F" w:rsidRDefault="00850FF2" w:rsidP="00DF0B39">
                  <w:pPr>
                    <w:keepLines/>
                    <w:rPr>
                      <w:rFonts w:eastAsia="Calibri" w:cs="Arial"/>
                      <w:b/>
                      <w:szCs w:val="21"/>
                    </w:rPr>
                  </w:pPr>
                  <w:r w:rsidRPr="0083464F">
                    <w:rPr>
                      <w:rFonts w:eastAsia="Calibri" w:cs="Arial"/>
                      <w:b/>
                      <w:szCs w:val="21"/>
                    </w:rPr>
                    <w:t>Insurer:</w:t>
                  </w:r>
                </w:p>
              </w:tc>
              <w:tc>
                <w:tcPr>
                  <w:tcW w:w="3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01A45772" w14:textId="77777777" w:rsidR="00850FF2" w:rsidRPr="0083464F" w:rsidRDefault="00850FF2" w:rsidP="00DF0B39">
                  <w:pPr>
                    <w:rPr>
                      <w:rFonts w:cs="Arial"/>
                      <w:szCs w:val="21"/>
                    </w:rPr>
                  </w:pPr>
                  <w:r w:rsidRPr="0083464F">
                    <w:rPr>
                      <w:rFonts w:cs="Arial"/>
                      <w:noProof/>
                      <w:szCs w:val="21"/>
                    </w:rPr>
                    <w:t>QBE UK Limited</w:t>
                  </w:r>
                  <w:r w:rsidRPr="0083464F">
                    <w:rPr>
                      <w:rFonts w:cs="Arial"/>
                      <w:szCs w:val="21"/>
                    </w:rPr>
                    <w:t xml:space="preserve"> via </w:t>
                  </w:r>
                  <w:r w:rsidRPr="0083464F">
                    <w:rPr>
                      <w:rFonts w:cs="Arial"/>
                      <w:noProof/>
                      <w:szCs w:val="21"/>
                    </w:rPr>
                    <w:t>Consilium Insurance Brokers Ltd</w:t>
                  </w:r>
                </w:p>
              </w:tc>
            </w:tr>
            <w:tr w:rsidR="00850FF2" w14:paraId="5E403D73" w14:textId="77777777" w:rsidTr="00DF0B39">
              <w:trPr>
                <w:trHeight w:val="240"/>
              </w:trPr>
              <w:tc>
                <w:tcPr>
                  <w:tcW w:w="2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67307C4B" w14:textId="77777777" w:rsidR="00850FF2" w:rsidRPr="0083464F" w:rsidRDefault="00850FF2" w:rsidP="00DF0B39">
                  <w:pPr>
                    <w:keepLines/>
                    <w:rPr>
                      <w:rFonts w:eastAsia="Calibri" w:cs="Arial"/>
                      <w:b/>
                      <w:szCs w:val="21"/>
                    </w:rPr>
                  </w:pPr>
                  <w:r w:rsidRPr="0083464F">
                    <w:rPr>
                      <w:rFonts w:eastAsia="Calibri" w:cs="Arial"/>
                      <w:b/>
                      <w:szCs w:val="21"/>
                    </w:rPr>
                    <w:t>Policy number:</w:t>
                  </w:r>
                </w:p>
              </w:tc>
              <w:tc>
                <w:tcPr>
                  <w:tcW w:w="3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4A1D39D3" w14:textId="77777777" w:rsidR="00850FF2" w:rsidRPr="0083464F" w:rsidRDefault="00850FF2" w:rsidP="00DF0B39">
                  <w:pPr>
                    <w:keepLines/>
                    <w:rPr>
                      <w:rFonts w:eastAsia="Calibri" w:cs="Arial"/>
                      <w:szCs w:val="21"/>
                    </w:rPr>
                  </w:pPr>
                  <w:r w:rsidRPr="0083464F">
                    <w:rPr>
                      <w:rFonts w:eastAsia="Calibri" w:cs="Arial"/>
                      <w:noProof/>
                      <w:szCs w:val="21"/>
                    </w:rPr>
                    <w:t>DIA21JOHNS05-1</w:t>
                  </w:r>
                </w:p>
              </w:tc>
            </w:tr>
            <w:tr w:rsidR="00850FF2" w14:paraId="76514A3F" w14:textId="77777777" w:rsidTr="00DF0B39">
              <w:trPr>
                <w:trHeight w:val="240"/>
              </w:trPr>
              <w:tc>
                <w:tcPr>
                  <w:tcW w:w="2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618250E6" w14:textId="77777777" w:rsidR="00850FF2" w:rsidRPr="0083464F" w:rsidRDefault="00850FF2" w:rsidP="00DF0B39">
                  <w:pPr>
                    <w:keepLines/>
                    <w:rPr>
                      <w:rFonts w:eastAsia="Calibri" w:cs="Arial"/>
                      <w:b/>
                      <w:szCs w:val="21"/>
                    </w:rPr>
                  </w:pPr>
                  <w:r w:rsidRPr="0083464F">
                    <w:rPr>
                      <w:rFonts w:eastAsia="Calibri" w:cs="Arial"/>
                      <w:b/>
                      <w:szCs w:val="21"/>
                    </w:rPr>
                    <w:t>Cover period:</w:t>
                  </w:r>
                </w:p>
              </w:tc>
              <w:tc>
                <w:tcPr>
                  <w:tcW w:w="3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5F666583" w14:textId="77777777" w:rsidR="00850FF2" w:rsidRPr="0083464F" w:rsidRDefault="00850FF2" w:rsidP="00DF0B39">
                  <w:pPr>
                    <w:keepLines/>
                    <w:rPr>
                      <w:rFonts w:eastAsia="Calibri" w:cs="Arial"/>
                      <w:szCs w:val="21"/>
                    </w:rPr>
                  </w:pPr>
                  <w:r w:rsidRPr="0083464F">
                    <w:rPr>
                      <w:rFonts w:eastAsia="Calibri" w:cs="Arial"/>
                      <w:noProof/>
                      <w:szCs w:val="21"/>
                    </w:rPr>
                    <w:t>1st December 2025</w:t>
                  </w:r>
                  <w:r w:rsidRPr="0083464F">
                    <w:rPr>
                      <w:rFonts w:eastAsia="Calibri" w:cs="Arial"/>
                      <w:szCs w:val="21"/>
                    </w:rPr>
                    <w:t xml:space="preserve"> to </w:t>
                  </w:r>
                  <w:r w:rsidRPr="0083464F">
                    <w:rPr>
                      <w:rFonts w:eastAsia="Calibri" w:cs="Arial"/>
                      <w:noProof/>
                      <w:szCs w:val="21"/>
                    </w:rPr>
                    <w:t>30th November 2026</w:t>
                  </w:r>
                </w:p>
              </w:tc>
            </w:tr>
            <w:tr w:rsidR="00850FF2" w14:paraId="45455C55" w14:textId="77777777" w:rsidTr="00850FF2">
              <w:trPr>
                <w:trHeight w:val="1352"/>
              </w:trPr>
              <w:tc>
                <w:tcPr>
                  <w:tcW w:w="2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279A562A" w14:textId="77777777" w:rsidR="00850FF2" w:rsidRPr="0083464F" w:rsidRDefault="00850FF2" w:rsidP="00DF0B39">
                  <w:pPr>
                    <w:keepLines/>
                    <w:rPr>
                      <w:rFonts w:eastAsia="Calibri" w:cs="Arial"/>
                      <w:b/>
                      <w:szCs w:val="21"/>
                    </w:rPr>
                  </w:pPr>
                  <w:r w:rsidRPr="0083464F">
                    <w:rPr>
                      <w:rFonts w:eastAsia="Calibri" w:cs="Arial"/>
                      <w:b/>
                      <w:szCs w:val="21"/>
                    </w:rPr>
                    <w:t>Indemnity limit:</w:t>
                  </w:r>
                </w:p>
              </w:tc>
              <w:tc>
                <w:tcPr>
                  <w:tcW w:w="3000" w:type="pct"/>
                  <w:tcBorders>
                    <w:top w:val="single" w:sz="4" w:space="0" w:color="auto"/>
                    <w:left w:val="single" w:sz="4" w:space="0" w:color="auto"/>
                    <w:bottom w:val="single" w:sz="4" w:space="0" w:color="auto"/>
                    <w:right w:val="single" w:sz="4" w:space="0" w:color="auto"/>
                  </w:tcBorders>
                  <w:tcMar>
                    <w:top w:w="91" w:type="dxa"/>
                    <w:left w:w="108" w:type="dxa"/>
                    <w:bottom w:w="28" w:type="dxa"/>
                    <w:right w:w="108" w:type="dxa"/>
                  </w:tcMar>
                  <w:vAlign w:val="center"/>
                </w:tcPr>
                <w:p w14:paraId="66E845B9" w14:textId="77777777" w:rsidR="00850FF2" w:rsidRDefault="00850FF2" w:rsidP="00DF0B39">
                  <w:pPr>
                    <w:keepLines/>
                    <w:rPr>
                      <w:rFonts w:eastAsia="Calibri" w:cs="Arial"/>
                      <w:szCs w:val="21"/>
                    </w:rPr>
                  </w:pPr>
                </w:p>
                <w:p w14:paraId="77C7BA72" w14:textId="77777777" w:rsidR="00850FF2" w:rsidRDefault="00850FF2" w:rsidP="00DF0B39">
                  <w:pPr>
                    <w:keepLines/>
                    <w:rPr>
                      <w:rFonts w:eastAsia="Calibri" w:cs="Arial"/>
                      <w:szCs w:val="21"/>
                    </w:rPr>
                  </w:pPr>
                  <w:r>
                    <w:t xml:space="preserve">All Risks Limit any one contract /contract site £3,200,000 Own Plant £2,500,000 Hired in Plant is included maximum value £500,000 – Hired Out plant maximum value £50,000 Excess - £2500 </w:t>
                  </w:r>
                  <w:proofErr w:type="gramStart"/>
                  <w:r>
                    <w:t>each and every</w:t>
                  </w:r>
                  <w:proofErr w:type="gramEnd"/>
                  <w:r>
                    <w:t xml:space="preserve"> loss in respect of Theft and malicious Damage and £1000 any other loss</w:t>
                  </w:r>
                </w:p>
                <w:p w14:paraId="4448AB5D" w14:textId="77777777" w:rsidR="00850FF2" w:rsidRDefault="00850FF2" w:rsidP="00DF0B39">
                  <w:pPr>
                    <w:keepLines/>
                    <w:rPr>
                      <w:rFonts w:eastAsia="Calibri" w:cs="Arial"/>
                      <w:szCs w:val="21"/>
                    </w:rPr>
                  </w:pPr>
                </w:p>
                <w:p w14:paraId="32E2E3AE" w14:textId="77777777" w:rsidR="00850FF2" w:rsidRPr="0083464F" w:rsidRDefault="00850FF2" w:rsidP="00DF0B39">
                  <w:pPr>
                    <w:keepLines/>
                    <w:rPr>
                      <w:rFonts w:eastAsia="Calibri" w:cs="Arial"/>
                      <w:szCs w:val="21"/>
                    </w:rPr>
                  </w:pPr>
                </w:p>
              </w:tc>
            </w:tr>
          </w:tbl>
          <w:p w14:paraId="10F405B8" w14:textId="77777777" w:rsidR="00850FF2" w:rsidRPr="0083464F" w:rsidRDefault="00850FF2" w:rsidP="00DF0B39">
            <w:pPr>
              <w:rPr>
                <w:rFonts w:eastAsia="Calibri" w:cs="Arial"/>
                <w:sz w:val="21"/>
                <w:szCs w:val="21"/>
              </w:rPr>
            </w:pPr>
          </w:p>
        </w:tc>
      </w:tr>
    </w:tbl>
    <w:p w14:paraId="2F7D88A7" w14:textId="77777777" w:rsidR="00850FF2" w:rsidRDefault="00850FF2" w:rsidP="00850FF2">
      <w:pPr>
        <w:pStyle w:val="paragraph"/>
        <w:spacing w:before="0" w:beforeAutospacing="0" w:after="0" w:afterAutospacing="0"/>
        <w:textAlignment w:val="baseline"/>
        <w:rPr>
          <w:rStyle w:val="normaltextrun"/>
          <w:rFonts w:ascii="Arial" w:hAnsi="Arial" w:cs="Arial"/>
          <w:sz w:val="22"/>
          <w:szCs w:val="22"/>
        </w:rPr>
      </w:pPr>
    </w:p>
    <w:p w14:paraId="1FDA7053" w14:textId="77777777" w:rsidR="00850FF2" w:rsidRPr="00850FF2" w:rsidRDefault="00850FF2" w:rsidP="00850FF2">
      <w:pPr>
        <w:pStyle w:val="paragraph"/>
        <w:spacing w:before="0" w:beforeAutospacing="0" w:after="0" w:afterAutospacing="0"/>
        <w:textAlignment w:val="baseline"/>
        <w:rPr>
          <w:rStyle w:val="eop"/>
          <w:rFonts w:ascii="Arial" w:hAnsi="Arial" w:cs="Arial"/>
          <w:b/>
          <w:bCs/>
          <w:sz w:val="22"/>
          <w:szCs w:val="22"/>
        </w:rPr>
      </w:pPr>
      <w:r w:rsidRPr="00850FF2">
        <w:rPr>
          <w:rStyle w:val="normaltextrun"/>
          <w:rFonts w:ascii="Arial" w:hAnsi="Arial" w:cs="Arial"/>
          <w:b/>
          <w:bCs/>
          <w:sz w:val="22"/>
          <w:szCs w:val="22"/>
        </w:rPr>
        <w:t>Please Note:</w:t>
      </w:r>
      <w:r w:rsidRPr="00850FF2">
        <w:rPr>
          <w:rStyle w:val="eop"/>
          <w:rFonts w:ascii="Arial" w:hAnsi="Arial" w:cs="Arial"/>
          <w:b/>
          <w:bCs/>
          <w:sz w:val="22"/>
          <w:szCs w:val="22"/>
        </w:rPr>
        <w:t> </w:t>
      </w:r>
    </w:p>
    <w:p w14:paraId="3764DCDA" w14:textId="2F3B05EB" w:rsidR="00850FF2" w:rsidRDefault="00850FF2" w:rsidP="00850FF2">
      <w:pPr>
        <w:pStyle w:val="paragraph"/>
        <w:spacing w:before="0" w:beforeAutospacing="0" w:after="0" w:afterAutospacing="0"/>
        <w:textAlignment w:val="baseline"/>
        <w:rPr>
          <w:rStyle w:val="normaltextrun"/>
          <w:rFonts w:ascii="Arial" w:hAnsi="Arial" w:cs="Arial"/>
          <w:sz w:val="20"/>
          <w:szCs w:val="21"/>
        </w:rPr>
      </w:pPr>
      <w:r w:rsidRPr="0083464F">
        <w:rPr>
          <w:rStyle w:val="normaltextrun"/>
          <w:rFonts w:ascii="Arial" w:hAnsi="Arial" w:cs="Arial"/>
          <w:sz w:val="20"/>
          <w:szCs w:val="21"/>
        </w:rPr>
        <w:t xml:space="preserve">The information provided in this document provides a brief overview of cover in place on the date of issue. The expiry date given is the expected expiry date of the policy. The cover stated above may change or be cancelled at any time, and we are under no obligation to advise you as such.  </w:t>
      </w:r>
    </w:p>
    <w:p w14:paraId="0174FF28" w14:textId="77777777" w:rsidR="00850FF2" w:rsidRDefault="00850FF2" w:rsidP="00850FF2">
      <w:pPr>
        <w:pStyle w:val="paragraph"/>
        <w:spacing w:before="0" w:beforeAutospacing="0" w:after="0" w:afterAutospacing="0"/>
        <w:textAlignment w:val="baseline"/>
        <w:rPr>
          <w:rStyle w:val="normaltextrun"/>
          <w:rFonts w:ascii="Arial" w:hAnsi="Arial" w:cs="Arial"/>
          <w:sz w:val="20"/>
          <w:szCs w:val="21"/>
        </w:rPr>
      </w:pPr>
    </w:p>
    <w:p w14:paraId="7ACDDD24" w14:textId="77777777" w:rsidR="00850FF2" w:rsidRPr="0083464F" w:rsidRDefault="00850FF2" w:rsidP="00850FF2">
      <w:pPr>
        <w:pStyle w:val="paragraph"/>
        <w:spacing w:before="0" w:beforeAutospacing="0" w:after="0" w:afterAutospacing="0"/>
        <w:textAlignment w:val="baseline"/>
        <w:rPr>
          <w:rFonts w:ascii="Arial" w:hAnsi="Arial" w:cs="Arial"/>
          <w:sz w:val="16"/>
          <w:szCs w:val="18"/>
        </w:rPr>
      </w:pPr>
    </w:p>
    <w:p w14:paraId="337958C2" w14:textId="77777777" w:rsidR="00850FF2" w:rsidRPr="0083464F" w:rsidRDefault="00850FF2" w:rsidP="00850FF2">
      <w:pPr>
        <w:pStyle w:val="paragraph"/>
        <w:spacing w:before="0" w:beforeAutospacing="0" w:after="0" w:afterAutospacing="0"/>
        <w:textAlignment w:val="baseline"/>
        <w:rPr>
          <w:rFonts w:ascii="Arial" w:hAnsi="Arial" w:cs="Arial"/>
          <w:sz w:val="16"/>
          <w:szCs w:val="18"/>
        </w:rPr>
      </w:pPr>
      <w:r w:rsidRPr="0083464F">
        <w:rPr>
          <w:rStyle w:val="eop"/>
          <w:rFonts w:ascii="Arial" w:hAnsi="Arial" w:cs="Arial"/>
          <w:sz w:val="20"/>
          <w:szCs w:val="21"/>
        </w:rPr>
        <w:t> </w:t>
      </w:r>
    </w:p>
    <w:p w14:paraId="137420BC" w14:textId="1854242C" w:rsidR="00850FF2" w:rsidRDefault="00850FF2" w:rsidP="00850FF2">
      <w:r w:rsidRPr="0083464F">
        <w:rPr>
          <w:rFonts w:cs="Arial"/>
          <w:noProof/>
        </w:rPr>
        <w:t>23rd December 2025</w:t>
      </w:r>
    </w:p>
    <w:sectPr w:rsidR="00850FF2" w:rsidSect="00850F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F2"/>
    <w:rsid w:val="001B3214"/>
    <w:rsid w:val="003C59F1"/>
    <w:rsid w:val="00850FF2"/>
    <w:rsid w:val="00C24586"/>
    <w:rsid w:val="00EA320F"/>
    <w:rsid w:val="00F45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894F"/>
  <w15:chartTrackingRefBased/>
  <w15:docId w15:val="{1E41D939-00ED-47C7-8BE2-EFBA75F5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FF2"/>
    <w:pPr>
      <w:spacing w:after="0" w:line="240" w:lineRule="auto"/>
      <w:jc w:val="both"/>
    </w:pPr>
    <w:rPr>
      <w:rFonts w:ascii="Arial" w:eastAsia="Times New Roman" w:hAnsi="Arial" w:cs="Times New Roman"/>
      <w:kern w:val="0"/>
      <w:sz w:val="20"/>
      <w:szCs w:val="24"/>
      <w14:ligatures w14:val="none"/>
    </w:rPr>
  </w:style>
  <w:style w:type="paragraph" w:styleId="Heading1">
    <w:name w:val="heading 1"/>
    <w:basedOn w:val="Normal"/>
    <w:next w:val="Normal"/>
    <w:link w:val="Heading1Char"/>
    <w:uiPriority w:val="9"/>
    <w:qFormat/>
    <w:rsid w:val="00850FF2"/>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0FF2"/>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0FF2"/>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0FF2"/>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50FF2"/>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50FF2"/>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50FF2"/>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50FF2"/>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50FF2"/>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0F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0F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F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F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F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FF2"/>
    <w:rPr>
      <w:rFonts w:eastAsiaTheme="majorEastAsia" w:cstheme="majorBidi"/>
      <w:color w:val="272727" w:themeColor="text1" w:themeTint="D8"/>
    </w:rPr>
  </w:style>
  <w:style w:type="paragraph" w:styleId="Title">
    <w:name w:val="Title"/>
    <w:basedOn w:val="Normal"/>
    <w:next w:val="Normal"/>
    <w:link w:val="TitleChar"/>
    <w:uiPriority w:val="10"/>
    <w:qFormat/>
    <w:rsid w:val="00850FF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0F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FF2"/>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0F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FF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50FF2"/>
    <w:rPr>
      <w:i/>
      <w:iCs/>
      <w:color w:val="404040" w:themeColor="text1" w:themeTint="BF"/>
    </w:rPr>
  </w:style>
  <w:style w:type="paragraph" w:styleId="ListParagraph">
    <w:name w:val="List Paragraph"/>
    <w:basedOn w:val="Normal"/>
    <w:uiPriority w:val="34"/>
    <w:qFormat/>
    <w:rsid w:val="00850FF2"/>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50FF2"/>
    <w:rPr>
      <w:i/>
      <w:iCs/>
      <w:color w:val="0F4761" w:themeColor="accent1" w:themeShade="BF"/>
    </w:rPr>
  </w:style>
  <w:style w:type="paragraph" w:styleId="IntenseQuote">
    <w:name w:val="Intense Quote"/>
    <w:basedOn w:val="Normal"/>
    <w:next w:val="Normal"/>
    <w:link w:val="IntenseQuoteChar"/>
    <w:uiPriority w:val="30"/>
    <w:qFormat/>
    <w:rsid w:val="00850FF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50FF2"/>
    <w:rPr>
      <w:i/>
      <w:iCs/>
      <w:color w:val="0F4761" w:themeColor="accent1" w:themeShade="BF"/>
    </w:rPr>
  </w:style>
  <w:style w:type="character" w:styleId="IntenseReference">
    <w:name w:val="Intense Reference"/>
    <w:basedOn w:val="DefaultParagraphFont"/>
    <w:uiPriority w:val="32"/>
    <w:qFormat/>
    <w:rsid w:val="00850FF2"/>
    <w:rPr>
      <w:b/>
      <w:bCs/>
      <w:smallCaps/>
      <w:color w:val="0F4761" w:themeColor="accent1" w:themeShade="BF"/>
      <w:spacing w:val="5"/>
    </w:rPr>
  </w:style>
  <w:style w:type="table" w:styleId="TableGrid">
    <w:name w:val="Table Grid"/>
    <w:basedOn w:val="TableNormal"/>
    <w:uiPriority w:val="39"/>
    <w:rsid w:val="00850FF2"/>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50FF2"/>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850FF2"/>
  </w:style>
  <w:style w:type="character" w:customStyle="1" w:styleId="SoDaNParagraphChar">
    <w:name w:val="SoDaNParagraph Char"/>
    <w:basedOn w:val="DefaultParagraphFont"/>
    <w:link w:val="SoDaNParagraph"/>
    <w:locked/>
    <w:rsid w:val="00850FF2"/>
    <w:rPr>
      <w:rFonts w:ascii="Arial" w:eastAsia="Calibri" w:hAnsi="Arial"/>
    </w:rPr>
  </w:style>
  <w:style w:type="paragraph" w:customStyle="1" w:styleId="SoDaNParagraph">
    <w:name w:val="SoDaNParagraph"/>
    <w:link w:val="SoDaNParagraphChar"/>
    <w:qFormat/>
    <w:rsid w:val="00850FF2"/>
    <w:pPr>
      <w:spacing w:after="120" w:line="240" w:lineRule="auto"/>
      <w:jc w:val="both"/>
    </w:pPr>
    <w:rPr>
      <w:rFonts w:ascii="Arial" w:eastAsia="Calibri" w:hAnsi="Arial"/>
    </w:rPr>
  </w:style>
  <w:style w:type="character" w:customStyle="1" w:styleId="eop">
    <w:name w:val="eop"/>
    <w:basedOn w:val="DefaultParagraphFont"/>
    <w:rsid w:val="00850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Dennish</dc:creator>
  <cp:keywords/>
  <dc:description/>
  <cp:lastModifiedBy>Jo Love</cp:lastModifiedBy>
  <cp:revision>2</cp:revision>
  <cp:lastPrinted>2025-12-23T11:57:00Z</cp:lastPrinted>
  <dcterms:created xsi:type="dcterms:W3CDTF">2026-01-06T16:54:00Z</dcterms:created>
  <dcterms:modified xsi:type="dcterms:W3CDTF">2026-01-06T16:54:00Z</dcterms:modified>
</cp:coreProperties>
</file>